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F1C5D" w14:textId="77777777" w:rsidR="001D297F" w:rsidRDefault="001D297F" w:rsidP="001D297F"/>
    <w:p w14:paraId="5FEC9619" w14:textId="56BF2AE2" w:rsidR="00926D5A" w:rsidRPr="00E123B8" w:rsidRDefault="00A51A89" w:rsidP="001D297F">
      <w:pPr>
        <w:rPr>
          <w:b/>
          <w:bCs/>
        </w:rPr>
      </w:pPr>
      <w:r w:rsidRPr="00E123B8">
        <w:rPr>
          <w:b/>
          <w:bCs/>
        </w:rPr>
        <w:t>Legislative Session Winding Down</w:t>
      </w:r>
    </w:p>
    <w:p w14:paraId="41F9451B" w14:textId="77777777" w:rsidR="0081562E" w:rsidRDefault="0081562E" w:rsidP="001D297F"/>
    <w:p w14:paraId="32A592F9" w14:textId="568C1395" w:rsidR="0081562E" w:rsidRDefault="0081562E" w:rsidP="0081562E">
      <w:r>
        <w:t xml:space="preserve">The 2024 Regular Session of the Louisiana Legislature is starting to wind down with regard to insurance related bills. Most </w:t>
      </w:r>
      <w:r w:rsidR="00E123B8">
        <w:t>of</w:t>
      </w:r>
      <w:r>
        <w:t xml:space="preserve"> the property insurance reform legislation has been signed by the governor and will become law. As previously reported, significant reforms have been made this year which will hopefully bring new property market capacity to Louisiana.</w:t>
      </w:r>
    </w:p>
    <w:p w14:paraId="150431D4" w14:textId="77777777" w:rsidR="0081562E" w:rsidRDefault="0081562E" w:rsidP="0081562E"/>
    <w:p w14:paraId="5CF83D8C" w14:textId="77777777" w:rsidR="0081562E" w:rsidRDefault="0081562E" w:rsidP="0081562E">
      <w:r>
        <w:t>Unfortunately, tort reform has not fared so well. Opposition from the always formidable plaintiff attorneys along with some medical professionals who profit from injury claims and litigation have made it difficult to pass meaningful tort reform. In addition, tort reform is not supported by the Landry administration. Following is the status of important tort reform legislation from this session:</w:t>
      </w:r>
    </w:p>
    <w:p w14:paraId="2B68D828" w14:textId="77777777" w:rsidR="001D297F" w:rsidRDefault="001D297F" w:rsidP="001D297F"/>
    <w:p w14:paraId="70393552" w14:textId="2DD45060" w:rsidR="001D297F" w:rsidRDefault="001D297F" w:rsidP="001D297F">
      <w:r>
        <w:t xml:space="preserve">Following is a report on </w:t>
      </w:r>
      <w:r w:rsidR="004F21FE">
        <w:t>the most important</w:t>
      </w:r>
      <w:r>
        <w:t xml:space="preserve"> bills.</w:t>
      </w:r>
    </w:p>
    <w:p w14:paraId="5DBF6CDE" w14:textId="77777777" w:rsidR="001D297F" w:rsidRDefault="001D297F" w:rsidP="001D297F"/>
    <w:p w14:paraId="13C07803" w14:textId="77777777" w:rsidR="001D297F" w:rsidRDefault="001D297F" w:rsidP="001D297F">
      <w:r>
        <w:t>You can click on the bill number for detailed information about each bill.</w:t>
      </w:r>
    </w:p>
    <w:p w14:paraId="04F4FD7C" w14:textId="77777777" w:rsidR="008F47B5" w:rsidRDefault="008F47B5" w:rsidP="001D297F"/>
    <w:p w14:paraId="22D59662" w14:textId="63D92D5C" w:rsidR="008F47B5" w:rsidRPr="008F47B5" w:rsidRDefault="008F47B5" w:rsidP="001D297F">
      <w:pPr>
        <w:rPr>
          <w:b/>
          <w:bCs/>
        </w:rPr>
      </w:pPr>
      <w:r w:rsidRPr="008F47B5">
        <w:rPr>
          <w:b/>
          <w:bCs/>
        </w:rPr>
        <w:t>UNINSURED MOTORIST REFORM</w:t>
      </w:r>
    </w:p>
    <w:p w14:paraId="3C030AD7" w14:textId="77777777" w:rsidR="008F47B5" w:rsidRDefault="008F47B5" w:rsidP="001D297F"/>
    <w:p w14:paraId="7EE0B0D0" w14:textId="00B111AD" w:rsidR="008F47B5" w:rsidRPr="004665D4" w:rsidRDefault="004665D4" w:rsidP="001D297F">
      <w:pPr>
        <w:rPr>
          <w:b/>
          <w:bCs/>
        </w:rPr>
      </w:pPr>
      <w:hyperlink r:id="rId7" w:history="1">
        <w:r w:rsidRPr="004665D4">
          <w:rPr>
            <w:rStyle w:val="Hyperlink"/>
            <w:b/>
            <w:bCs/>
          </w:rPr>
          <w:t>SB 499</w:t>
        </w:r>
      </w:hyperlink>
    </w:p>
    <w:p w14:paraId="28EB367F" w14:textId="77777777" w:rsidR="004665D4" w:rsidRDefault="004665D4" w:rsidP="001D297F"/>
    <w:p w14:paraId="194867DC" w14:textId="79A92DC9" w:rsidR="00037082" w:rsidRDefault="00F85EB1" w:rsidP="001D297F">
      <w:r>
        <w:t xml:space="preserve">Uninsured Motorist Selection Form </w:t>
      </w:r>
      <w:r w:rsidR="00103E4C">
        <w:t>–</w:t>
      </w:r>
      <w:r>
        <w:t xml:space="preserve"> </w:t>
      </w:r>
      <w:r w:rsidR="00103E4C">
        <w:t>SB 499 was introduced at the request of Insurance Commissioner Tim Temple to address litigation</w:t>
      </w:r>
      <w:r w:rsidR="00DF4F9D">
        <w:t xml:space="preserve"> related to proper completion of UM selection forms. The original bill would have made UM coverage “opt-in” li</w:t>
      </w:r>
      <w:r w:rsidR="00D24C2A">
        <w:t>ke all other auto coverages instead of mandatory coverage unless a policyholder “opts-out.”</w:t>
      </w:r>
      <w:r w:rsidR="00580CA2">
        <w:t xml:space="preserve"> IIABL strongly supported this bill. Unfortunately, the bill was amended </w:t>
      </w:r>
      <w:r w:rsidR="006764DF">
        <w:t>to apply only to commercial auto policies</w:t>
      </w:r>
      <w:r w:rsidR="0084782F">
        <w:t xml:space="preserve">. However, there is also </w:t>
      </w:r>
      <w:r w:rsidR="00851F31">
        <w:t xml:space="preserve">language that applies to both commercial and personal </w:t>
      </w:r>
      <w:r w:rsidR="007030DE">
        <w:t xml:space="preserve">UM coverage that seeks to end litigation over technical mistakes in the completion of a UM selection form. The bill provides, </w:t>
      </w:r>
      <w:r w:rsidR="00851F31">
        <w:t>“</w:t>
      </w:r>
      <w:r w:rsidR="00037082" w:rsidRPr="00037082">
        <w:t>In the event the form is not properly completed and signed so that this rebuttable presumption does not apply then there shall be no coverage or modified coverage, as applicable, if it is determined that the insured or his legal representative intended to reject or modify the uninsured coverage.</w:t>
      </w:r>
      <w:r w:rsidR="00851F31">
        <w:t>”</w:t>
      </w:r>
    </w:p>
    <w:p w14:paraId="143C7FDE" w14:textId="3D0C34A4" w:rsidR="001D297F" w:rsidRPr="00742DF1" w:rsidRDefault="001B6B50" w:rsidP="00712318">
      <w:pPr>
        <w:shd w:val="clear" w:color="auto" w:fill="FFFFFF"/>
        <w:rPr>
          <w:rFonts w:ascii="Arial" w:eastAsia="Times New Roman" w:hAnsi="Arial" w:cs="Arial"/>
          <w:color w:val="000000"/>
          <w:kern w:val="0"/>
          <w14:ligatures w14:val="none"/>
        </w:rPr>
      </w:pPr>
      <w:r>
        <w:rPr>
          <w:rFonts w:ascii="Arial" w:eastAsia="Times New Roman" w:hAnsi="Arial" w:cs="Arial"/>
          <w:color w:val="000000"/>
          <w:kern w:val="0"/>
          <w14:ligatures w14:val="none"/>
        </w:rPr>
        <w:t xml:space="preserve">SB 499 is on the House floor </w:t>
      </w:r>
      <w:r w:rsidR="00B229C0">
        <w:rPr>
          <w:rFonts w:ascii="Arial" w:eastAsia="Times New Roman" w:hAnsi="Arial" w:cs="Arial"/>
          <w:color w:val="000000"/>
          <w:kern w:val="0"/>
          <w14:ligatures w14:val="none"/>
        </w:rPr>
        <w:t>pending final passage, and concurrence by the Senate.</w:t>
      </w:r>
    </w:p>
    <w:p w14:paraId="3DCBD188" w14:textId="7B767DA6" w:rsidR="001D297F" w:rsidRPr="004F21FE" w:rsidRDefault="001D297F" w:rsidP="004F21FE">
      <w:pPr>
        <w:rPr>
          <w:rFonts w:ascii="Arial" w:eastAsia="Times New Roman" w:hAnsi="Arial" w:cs="Arial"/>
          <w:b/>
          <w:bCs/>
          <w:color w:val="000000"/>
          <w:kern w:val="0"/>
          <w14:ligatures w14:val="none"/>
        </w:rPr>
      </w:pPr>
      <w:r w:rsidRPr="004F21FE">
        <w:rPr>
          <w:rFonts w:ascii="Arial" w:eastAsia="Times New Roman" w:hAnsi="Arial" w:cs="Arial"/>
          <w:b/>
          <w:bCs/>
          <w:color w:val="000000"/>
          <w:kern w:val="0"/>
          <w14:ligatures w14:val="none"/>
        </w:rPr>
        <w:br/>
      </w:r>
      <w:r w:rsidR="004F21FE" w:rsidRPr="004F21FE">
        <w:rPr>
          <w:rFonts w:ascii="Arial" w:eastAsia="Times New Roman" w:hAnsi="Arial" w:cs="Arial"/>
          <w:b/>
          <w:bCs/>
          <w:color w:val="000000"/>
          <w:kern w:val="0"/>
          <w14:ligatures w14:val="none"/>
        </w:rPr>
        <w:t>PROPERTY INSURANCE REFORM BILLS</w:t>
      </w:r>
    </w:p>
    <w:p w14:paraId="54FEE0F5" w14:textId="77777777" w:rsidR="00A92B8A" w:rsidRDefault="00893CA6" w:rsidP="001D297F">
      <w:pPr>
        <w:shd w:val="clear" w:color="auto" w:fill="FFFFFF"/>
        <w:spacing w:before="100" w:beforeAutospacing="1" w:after="100" w:afterAutospacing="1"/>
        <w:rPr>
          <w:rFonts w:ascii="Arial" w:eastAsia="Times New Roman" w:hAnsi="Arial" w:cs="Arial"/>
          <w:color w:val="000000"/>
          <w:kern w:val="0"/>
          <w14:ligatures w14:val="none"/>
        </w:rPr>
      </w:pPr>
      <w:hyperlink r:id="rId8" w:tgtFrame="_blank" w:history="1">
        <w:r w:rsidR="001D297F" w:rsidRPr="00C614AA">
          <w:rPr>
            <w:rStyle w:val="Hyperlink"/>
            <w:rFonts w:ascii="Arial" w:eastAsia="Times New Roman" w:hAnsi="Arial" w:cs="Arial"/>
            <w:b/>
            <w:bCs/>
            <w:kern w:val="0"/>
            <w14:ligatures w14:val="none"/>
          </w:rPr>
          <w:t>SB 295</w:t>
        </w:r>
      </w:hyperlink>
      <w:r w:rsidR="001D297F" w:rsidRPr="00742DF1">
        <w:rPr>
          <w:rFonts w:ascii="Arial" w:eastAsia="Times New Roman" w:hAnsi="Arial" w:cs="Arial"/>
          <w:color w:val="000000"/>
          <w:kern w:val="0"/>
          <w14:ligatures w14:val="none"/>
        </w:rPr>
        <w:t>    </w:t>
      </w:r>
    </w:p>
    <w:p w14:paraId="4F322EC3" w14:textId="080E0E4D" w:rsidR="001D297F" w:rsidRPr="00712318" w:rsidRDefault="00A92B8A" w:rsidP="001D297F">
      <w:pPr>
        <w:shd w:val="clear" w:color="auto" w:fill="FFFFFF"/>
        <w:spacing w:before="100" w:beforeAutospacing="1" w:after="100" w:afterAutospacing="1"/>
        <w:rPr>
          <w:rFonts w:ascii="Arial" w:eastAsia="Times New Roman" w:hAnsi="Arial" w:cs="Arial"/>
          <w:color w:val="000000"/>
          <w:kern w:val="0"/>
          <w14:ligatures w14:val="none"/>
        </w:rPr>
      </w:pPr>
      <w:r w:rsidRPr="00A92B8A">
        <w:rPr>
          <w:rFonts w:ascii="Arial" w:eastAsia="Times New Roman" w:hAnsi="Arial" w:cs="Arial"/>
          <w:b/>
          <w:bCs/>
          <w:color w:val="000000"/>
          <w:kern w:val="0"/>
          <w14:ligatures w14:val="none"/>
        </w:rPr>
        <w:lastRenderedPageBreak/>
        <w:t>File &amp; Use Rating</w:t>
      </w:r>
      <w:r>
        <w:rPr>
          <w:rFonts w:ascii="Arial" w:eastAsia="Times New Roman" w:hAnsi="Arial" w:cs="Arial"/>
          <w:color w:val="000000"/>
          <w:kern w:val="0"/>
          <w14:ligatures w14:val="none"/>
        </w:rPr>
        <w:t xml:space="preserve"> - </w:t>
      </w:r>
      <w:r w:rsidR="001D297F" w:rsidRPr="00742DF1">
        <w:rPr>
          <w:rFonts w:ascii="Arial" w:eastAsia="Times New Roman" w:hAnsi="Arial" w:cs="Arial"/>
          <w:color w:val="000000"/>
          <w:kern w:val="0"/>
          <w14:ligatures w14:val="none"/>
        </w:rPr>
        <w:t>Provides for certain processes relative to rate making</w:t>
      </w:r>
      <w:r w:rsidR="001D297F">
        <w:rPr>
          <w:rFonts w:ascii="Arial" w:eastAsia="Times New Roman" w:hAnsi="Arial" w:cs="Arial"/>
          <w:color w:val="000000"/>
          <w:kern w:val="0"/>
          <w14:ligatures w14:val="none"/>
        </w:rPr>
        <w:t xml:space="preserve"> (changes the rate approval process from prior approval to file &amp; use)</w:t>
      </w:r>
      <w:r w:rsidR="001D297F" w:rsidRPr="00742DF1">
        <w:rPr>
          <w:rFonts w:ascii="Arial" w:eastAsia="Times New Roman" w:hAnsi="Arial" w:cs="Arial"/>
          <w:color w:val="000000"/>
          <w:kern w:val="0"/>
          <w14:ligatures w14:val="none"/>
        </w:rPr>
        <w:t>. - </w:t>
      </w:r>
      <w:r w:rsidR="001D297F">
        <w:rPr>
          <w:rFonts w:ascii="Arial" w:hAnsi="Arial" w:cs="Arial"/>
          <w:b/>
          <w:bCs/>
          <w:color w:val="000000"/>
        </w:rPr>
        <w:t xml:space="preserve">Passed the House </w:t>
      </w:r>
      <w:r w:rsidR="00AE0D01">
        <w:rPr>
          <w:rFonts w:ascii="Arial" w:hAnsi="Arial" w:cs="Arial"/>
          <w:b/>
          <w:bCs/>
          <w:color w:val="000000"/>
        </w:rPr>
        <w:t>floor this week and returns to t</w:t>
      </w:r>
      <w:r w:rsidR="001D297F">
        <w:rPr>
          <w:rFonts w:ascii="Arial" w:hAnsi="Arial" w:cs="Arial"/>
          <w:b/>
          <w:bCs/>
          <w:color w:val="000000"/>
        </w:rPr>
        <w:t xml:space="preserve">he Senate floor </w:t>
      </w:r>
      <w:r w:rsidR="00AE0D01">
        <w:rPr>
          <w:rFonts w:ascii="Arial" w:hAnsi="Arial" w:cs="Arial"/>
          <w:b/>
          <w:bCs/>
          <w:color w:val="000000"/>
        </w:rPr>
        <w:t>for concurrence in House amendments</w:t>
      </w:r>
      <w:r w:rsidR="001D297F">
        <w:rPr>
          <w:rFonts w:ascii="Arial" w:hAnsi="Arial" w:cs="Arial"/>
          <w:b/>
          <w:bCs/>
          <w:color w:val="000000"/>
        </w:rPr>
        <w:t>.</w:t>
      </w:r>
    </w:p>
    <w:p w14:paraId="2F006F7B" w14:textId="4BCB8B38" w:rsidR="00A92B8A" w:rsidRDefault="00893CA6" w:rsidP="001D297F">
      <w:pPr>
        <w:shd w:val="clear" w:color="auto" w:fill="FFFFFF"/>
        <w:spacing w:before="100" w:beforeAutospacing="1" w:after="100" w:afterAutospacing="1"/>
        <w:rPr>
          <w:rFonts w:ascii="Arial" w:eastAsia="Times New Roman" w:hAnsi="Arial" w:cs="Arial"/>
          <w:color w:val="000000"/>
          <w:kern w:val="0"/>
          <w14:ligatures w14:val="none"/>
        </w:rPr>
      </w:pPr>
      <w:hyperlink r:id="rId9" w:tgtFrame="_blank" w:history="1">
        <w:r w:rsidR="009551E3">
          <w:rPr>
            <w:rStyle w:val="Hyperlink"/>
            <w:rFonts w:ascii="Arial" w:eastAsia="Times New Roman" w:hAnsi="Arial" w:cs="Arial"/>
            <w:b/>
            <w:bCs/>
            <w:kern w:val="0"/>
            <w14:ligatures w14:val="none"/>
          </w:rPr>
          <w:t>ACT 10 / S</w:t>
        </w:r>
        <w:r w:rsidR="001D297F" w:rsidRPr="00C614AA">
          <w:rPr>
            <w:rStyle w:val="Hyperlink"/>
            <w:rFonts w:ascii="Arial" w:eastAsia="Times New Roman" w:hAnsi="Arial" w:cs="Arial"/>
            <w:b/>
            <w:bCs/>
            <w:kern w:val="0"/>
            <w14:ligatures w14:val="none"/>
          </w:rPr>
          <w:t>B 323</w:t>
        </w:r>
      </w:hyperlink>
      <w:r w:rsidR="001D297F" w:rsidRPr="00742DF1">
        <w:rPr>
          <w:rFonts w:ascii="Arial" w:eastAsia="Times New Roman" w:hAnsi="Arial" w:cs="Arial"/>
          <w:color w:val="000000"/>
          <w:kern w:val="0"/>
          <w14:ligatures w14:val="none"/>
        </w:rPr>
        <w:t>   </w:t>
      </w:r>
    </w:p>
    <w:p w14:paraId="5338DF4E" w14:textId="5782B481" w:rsidR="001D297F" w:rsidRDefault="00A92B8A" w:rsidP="001D297F">
      <w:pPr>
        <w:shd w:val="clear" w:color="auto" w:fill="FFFFFF"/>
        <w:spacing w:before="100" w:beforeAutospacing="1" w:after="100" w:afterAutospacing="1"/>
        <w:rPr>
          <w:rFonts w:ascii="Arial" w:hAnsi="Arial" w:cs="Arial"/>
          <w:b/>
          <w:bCs/>
          <w:color w:val="000000"/>
        </w:rPr>
      </w:pPr>
      <w:r w:rsidRPr="00A92B8A">
        <w:rPr>
          <w:rFonts w:ascii="Arial" w:eastAsia="Times New Roman" w:hAnsi="Arial" w:cs="Arial"/>
          <w:b/>
          <w:bCs/>
          <w:color w:val="000000"/>
          <w:kern w:val="0"/>
          <w14:ligatures w14:val="none"/>
        </w:rPr>
        <w:t>Reform Bad Faith Statutes</w:t>
      </w:r>
      <w:r>
        <w:rPr>
          <w:rFonts w:ascii="Arial" w:eastAsia="Times New Roman" w:hAnsi="Arial" w:cs="Arial"/>
          <w:color w:val="000000"/>
          <w:kern w:val="0"/>
          <w14:ligatures w14:val="none"/>
        </w:rPr>
        <w:t xml:space="preserve"> - </w:t>
      </w:r>
      <w:r w:rsidR="001D297F" w:rsidRPr="00742DF1">
        <w:rPr>
          <w:rFonts w:ascii="Arial" w:eastAsia="Times New Roman" w:hAnsi="Arial" w:cs="Arial"/>
          <w:color w:val="000000"/>
          <w:kern w:val="0"/>
          <w14:ligatures w14:val="none"/>
        </w:rPr>
        <w:t>Provides for fair claims processing</w:t>
      </w:r>
      <w:r w:rsidR="001D297F">
        <w:rPr>
          <w:rFonts w:ascii="Arial" w:eastAsia="Times New Roman" w:hAnsi="Arial" w:cs="Arial"/>
          <w:color w:val="000000"/>
          <w:kern w:val="0"/>
          <w14:ligatures w14:val="none"/>
        </w:rPr>
        <w:t xml:space="preserve"> (clarifies the bad faith statutes)</w:t>
      </w:r>
      <w:r w:rsidR="001D297F" w:rsidRPr="00742DF1">
        <w:rPr>
          <w:rFonts w:ascii="Arial" w:eastAsia="Times New Roman" w:hAnsi="Arial" w:cs="Arial"/>
          <w:color w:val="000000"/>
          <w:kern w:val="0"/>
          <w14:ligatures w14:val="none"/>
        </w:rPr>
        <w:t>. -</w:t>
      </w:r>
      <w:r w:rsidR="001D297F">
        <w:rPr>
          <w:rFonts w:ascii="Arial" w:hAnsi="Arial" w:cs="Arial"/>
          <w:b/>
          <w:bCs/>
          <w:color w:val="000000"/>
        </w:rPr>
        <w:t xml:space="preserve"> </w:t>
      </w:r>
      <w:r w:rsidR="0016568C">
        <w:rPr>
          <w:rFonts w:ascii="Arial" w:hAnsi="Arial" w:cs="Arial"/>
          <w:b/>
          <w:bCs/>
          <w:color w:val="000000"/>
        </w:rPr>
        <w:t>Became law on May 7, 2024, upon signature of the governor.</w:t>
      </w:r>
    </w:p>
    <w:p w14:paraId="68278916" w14:textId="16B3A906" w:rsidR="00AA17C3" w:rsidRDefault="00893CA6" w:rsidP="001D297F">
      <w:pPr>
        <w:pStyle w:val="NormalWeb"/>
        <w:shd w:val="clear" w:color="auto" w:fill="FFFFFF"/>
        <w:rPr>
          <w:rFonts w:ascii="Arial" w:hAnsi="Arial" w:cs="Arial"/>
          <w:color w:val="000000"/>
        </w:rPr>
      </w:pPr>
      <w:hyperlink r:id="rId10" w:tgtFrame="_blank" w:history="1">
        <w:r w:rsidR="002F54E6">
          <w:rPr>
            <w:rStyle w:val="Hyperlink"/>
            <w:rFonts w:ascii="Arial" w:hAnsi="Arial" w:cs="Arial"/>
            <w:b/>
            <w:bCs/>
          </w:rPr>
          <w:t>ACT 8 / H</w:t>
        </w:r>
        <w:r w:rsidR="001D297F" w:rsidRPr="001A7824">
          <w:rPr>
            <w:rStyle w:val="Hyperlink"/>
            <w:rFonts w:ascii="Arial" w:hAnsi="Arial" w:cs="Arial"/>
            <w:b/>
            <w:bCs/>
          </w:rPr>
          <w:t>B</w:t>
        </w:r>
        <w:r w:rsidR="001D297F">
          <w:rPr>
            <w:rStyle w:val="Hyperlink"/>
            <w:rFonts w:ascii="Arial" w:hAnsi="Arial" w:cs="Arial"/>
            <w:b/>
            <w:bCs/>
          </w:rPr>
          <w:t xml:space="preserve"> </w:t>
        </w:r>
        <w:r w:rsidR="001D297F" w:rsidRPr="001A7824">
          <w:rPr>
            <w:rStyle w:val="Hyperlink"/>
            <w:rFonts w:ascii="Arial" w:hAnsi="Arial" w:cs="Arial"/>
            <w:b/>
            <w:bCs/>
          </w:rPr>
          <w:t>1</w:t>
        </w:r>
        <w:r w:rsidR="001D297F" w:rsidRPr="001A7824">
          <w:rPr>
            <w:rStyle w:val="Hyperlink"/>
            <w:rFonts w:ascii="Arial" w:hAnsi="Arial" w:cs="Arial"/>
            <w:b/>
            <w:bCs/>
          </w:rPr>
          <w:t>20</w:t>
        </w:r>
      </w:hyperlink>
      <w:r w:rsidR="001D297F">
        <w:rPr>
          <w:rFonts w:ascii="Arial" w:hAnsi="Arial" w:cs="Arial"/>
          <w:color w:val="000000"/>
        </w:rPr>
        <w:t>   </w:t>
      </w:r>
    </w:p>
    <w:p w14:paraId="0C4CAFE3" w14:textId="4CC9DE4A" w:rsidR="001D297F" w:rsidRPr="00AA17C3" w:rsidRDefault="001D297F" w:rsidP="001D297F">
      <w:pPr>
        <w:pStyle w:val="NormalWeb"/>
        <w:shd w:val="clear" w:color="auto" w:fill="FFFFFF"/>
        <w:rPr>
          <w:rFonts w:ascii="Arial" w:hAnsi="Arial" w:cs="Arial"/>
          <w:b/>
          <w:bCs/>
          <w:color w:val="000000"/>
        </w:rPr>
      </w:pPr>
      <w:r w:rsidRPr="00AA17C3">
        <w:rPr>
          <w:rFonts w:ascii="Arial" w:hAnsi="Arial" w:cs="Arial"/>
          <w:b/>
          <w:bCs/>
          <w:color w:val="000000"/>
        </w:rPr>
        <w:t>Repeals the termination date relative to the Louisiana Fortify Homes Program. – </w:t>
      </w:r>
      <w:r w:rsidR="00B00C4B">
        <w:rPr>
          <w:rFonts w:ascii="Arial" w:hAnsi="Arial" w:cs="Arial"/>
          <w:b/>
          <w:bCs/>
          <w:color w:val="000000"/>
        </w:rPr>
        <w:t>Will become law on August 1, 2024.</w:t>
      </w:r>
    </w:p>
    <w:p w14:paraId="091E60D9" w14:textId="0857A0C7" w:rsidR="00AA17C3" w:rsidRDefault="00893CA6" w:rsidP="001D297F">
      <w:pPr>
        <w:pStyle w:val="NormalWeb"/>
        <w:shd w:val="clear" w:color="auto" w:fill="FFFFFF"/>
        <w:rPr>
          <w:rFonts w:ascii="Arial" w:hAnsi="Arial" w:cs="Arial"/>
          <w:color w:val="000000"/>
        </w:rPr>
      </w:pPr>
      <w:hyperlink r:id="rId11" w:tgtFrame="_blank" w:history="1">
        <w:r w:rsidR="008739EB">
          <w:rPr>
            <w:rStyle w:val="Hyperlink"/>
            <w:rFonts w:ascii="Arial" w:hAnsi="Arial" w:cs="Arial"/>
            <w:b/>
            <w:bCs/>
          </w:rPr>
          <w:t>ACT 113 / H</w:t>
        </w:r>
        <w:r w:rsidR="001D297F" w:rsidRPr="001A7824">
          <w:rPr>
            <w:rStyle w:val="Hyperlink"/>
            <w:rFonts w:ascii="Arial" w:hAnsi="Arial" w:cs="Arial"/>
            <w:b/>
            <w:bCs/>
          </w:rPr>
          <w:t>B</w:t>
        </w:r>
        <w:r w:rsidR="001D297F">
          <w:rPr>
            <w:rStyle w:val="Hyperlink"/>
            <w:rFonts w:ascii="Arial" w:hAnsi="Arial" w:cs="Arial"/>
            <w:b/>
            <w:bCs/>
          </w:rPr>
          <w:t xml:space="preserve"> </w:t>
        </w:r>
        <w:r w:rsidR="001D297F" w:rsidRPr="001A7824">
          <w:rPr>
            <w:rStyle w:val="Hyperlink"/>
            <w:rFonts w:ascii="Arial" w:hAnsi="Arial" w:cs="Arial"/>
            <w:b/>
            <w:bCs/>
          </w:rPr>
          <w:t>520</w:t>
        </w:r>
      </w:hyperlink>
      <w:r w:rsidR="001D297F">
        <w:rPr>
          <w:rFonts w:ascii="Arial" w:hAnsi="Arial" w:cs="Arial"/>
          <w:color w:val="000000"/>
        </w:rPr>
        <w:t>   </w:t>
      </w:r>
    </w:p>
    <w:p w14:paraId="4228E0CC" w14:textId="6C8C8BB1" w:rsidR="001D297F" w:rsidRDefault="00AA17C3" w:rsidP="001D297F">
      <w:pPr>
        <w:pStyle w:val="NormalWeb"/>
        <w:shd w:val="clear" w:color="auto" w:fill="FFFFFF"/>
        <w:rPr>
          <w:rFonts w:ascii="Arial" w:hAnsi="Arial" w:cs="Arial"/>
          <w:color w:val="000000"/>
        </w:rPr>
      </w:pPr>
      <w:r w:rsidRPr="00AA17C3">
        <w:rPr>
          <w:rFonts w:ascii="Arial" w:hAnsi="Arial" w:cs="Arial"/>
          <w:b/>
          <w:bCs/>
          <w:color w:val="000000"/>
        </w:rPr>
        <w:t>Protects Policyholder Access to Adjuster Reports</w:t>
      </w:r>
      <w:r>
        <w:rPr>
          <w:rFonts w:ascii="Arial" w:hAnsi="Arial" w:cs="Arial"/>
          <w:color w:val="000000"/>
        </w:rPr>
        <w:t xml:space="preserve"> - </w:t>
      </w:r>
      <w:r w:rsidR="00893CA6">
        <w:rPr>
          <w:rFonts w:ascii="Arial" w:hAnsi="Arial" w:cs="Arial"/>
          <w:color w:val="000000"/>
        </w:rPr>
        <w:t>Provides</w:t>
      </w:r>
      <w:r w:rsidR="001D297F">
        <w:rPr>
          <w:rFonts w:ascii="Arial" w:hAnsi="Arial" w:cs="Arial"/>
          <w:color w:val="000000"/>
        </w:rPr>
        <w:t xml:space="preserve"> unfair or deceptive trade practices relative to reports of adjusters. - </w:t>
      </w:r>
      <w:r w:rsidR="003D15A9">
        <w:rPr>
          <w:rFonts w:ascii="Arial" w:hAnsi="Arial" w:cs="Arial"/>
          <w:b/>
          <w:bCs/>
          <w:color w:val="000000"/>
        </w:rPr>
        <w:t>Will become law on August 1, 2024.</w:t>
      </w:r>
    </w:p>
    <w:p w14:paraId="1BF060B8" w14:textId="19BB38AB" w:rsidR="00B229C5" w:rsidRDefault="00893CA6" w:rsidP="001D297F">
      <w:pPr>
        <w:pStyle w:val="NormalWeb"/>
        <w:shd w:val="clear" w:color="auto" w:fill="FFFFFF"/>
        <w:rPr>
          <w:rFonts w:ascii="Arial" w:hAnsi="Arial" w:cs="Arial"/>
          <w:color w:val="000000"/>
        </w:rPr>
      </w:pPr>
      <w:hyperlink r:id="rId12" w:tgtFrame="_blank" w:history="1">
        <w:r w:rsidR="008739EB">
          <w:rPr>
            <w:rStyle w:val="Hyperlink"/>
            <w:rFonts w:ascii="Arial" w:hAnsi="Arial" w:cs="Arial"/>
            <w:b/>
            <w:bCs/>
          </w:rPr>
          <w:t>ACT 9 / H</w:t>
        </w:r>
        <w:r w:rsidR="001D297F" w:rsidRPr="001A7824">
          <w:rPr>
            <w:rStyle w:val="Hyperlink"/>
            <w:rFonts w:ascii="Arial" w:hAnsi="Arial" w:cs="Arial"/>
            <w:b/>
            <w:bCs/>
          </w:rPr>
          <w:t>B</w:t>
        </w:r>
        <w:r w:rsidR="001D297F">
          <w:rPr>
            <w:rStyle w:val="Hyperlink"/>
            <w:rFonts w:ascii="Arial" w:hAnsi="Arial" w:cs="Arial"/>
            <w:b/>
            <w:bCs/>
          </w:rPr>
          <w:t xml:space="preserve"> </w:t>
        </w:r>
        <w:r w:rsidR="001D297F" w:rsidRPr="001A7824">
          <w:rPr>
            <w:rStyle w:val="Hyperlink"/>
            <w:rFonts w:ascii="Arial" w:hAnsi="Arial" w:cs="Arial"/>
            <w:b/>
            <w:bCs/>
          </w:rPr>
          <w:t>6</w:t>
        </w:r>
        <w:r w:rsidR="001D297F" w:rsidRPr="001A7824">
          <w:rPr>
            <w:rStyle w:val="Hyperlink"/>
            <w:rFonts w:ascii="Arial" w:hAnsi="Arial" w:cs="Arial"/>
            <w:b/>
            <w:bCs/>
          </w:rPr>
          <w:t>1</w:t>
        </w:r>
        <w:r w:rsidR="001D297F" w:rsidRPr="001A7824">
          <w:rPr>
            <w:rStyle w:val="Hyperlink"/>
            <w:rFonts w:ascii="Arial" w:hAnsi="Arial" w:cs="Arial"/>
            <w:b/>
            <w:bCs/>
          </w:rPr>
          <w:t>1</w:t>
        </w:r>
      </w:hyperlink>
      <w:r w:rsidR="001D297F">
        <w:rPr>
          <w:rFonts w:ascii="Arial" w:hAnsi="Arial" w:cs="Arial"/>
          <w:color w:val="000000"/>
        </w:rPr>
        <w:t>   </w:t>
      </w:r>
    </w:p>
    <w:p w14:paraId="3544D949" w14:textId="2127032B" w:rsidR="001D297F" w:rsidRDefault="00B229C5" w:rsidP="001D297F">
      <w:pPr>
        <w:pStyle w:val="NormalWeb"/>
        <w:shd w:val="clear" w:color="auto" w:fill="FFFFFF"/>
        <w:rPr>
          <w:rFonts w:ascii="Arial" w:hAnsi="Arial" w:cs="Arial"/>
          <w:color w:val="000000"/>
        </w:rPr>
      </w:pPr>
      <w:r w:rsidRPr="00AA17C3">
        <w:rPr>
          <w:rFonts w:ascii="Arial" w:hAnsi="Arial" w:cs="Arial"/>
          <w:b/>
          <w:bCs/>
          <w:color w:val="000000"/>
        </w:rPr>
        <w:t>Exceptions to the “More Than 3-Year Rule”</w:t>
      </w:r>
      <w:r>
        <w:rPr>
          <w:rFonts w:ascii="Arial" w:hAnsi="Arial" w:cs="Arial"/>
          <w:color w:val="000000"/>
        </w:rPr>
        <w:t xml:space="preserve"> - </w:t>
      </w:r>
      <w:r w:rsidR="001D297F">
        <w:rPr>
          <w:rFonts w:ascii="Arial" w:hAnsi="Arial" w:cs="Arial"/>
          <w:color w:val="000000"/>
        </w:rPr>
        <w:t>Provides relative to homeowners' insurance and termination of certain policies. - </w:t>
      </w:r>
      <w:r w:rsidR="007669D8">
        <w:rPr>
          <w:rFonts w:ascii="Arial" w:hAnsi="Arial" w:cs="Arial"/>
          <w:b/>
          <w:bCs/>
          <w:color w:val="000000"/>
        </w:rPr>
        <w:t>Becomes law on January 1, 2025.</w:t>
      </w:r>
    </w:p>
    <w:p w14:paraId="6833D370" w14:textId="77777777" w:rsidR="001D297F" w:rsidRDefault="001D297F" w:rsidP="001D297F"/>
    <w:p w14:paraId="274354C5" w14:textId="17199417" w:rsidR="001D297F" w:rsidRPr="004F21FE" w:rsidRDefault="004F21FE" w:rsidP="001D297F">
      <w:pPr>
        <w:rPr>
          <w:b/>
          <w:bCs/>
        </w:rPr>
      </w:pPr>
      <w:r w:rsidRPr="004F21FE">
        <w:rPr>
          <w:b/>
          <w:bCs/>
        </w:rPr>
        <w:t>TORT REFORM BILLS</w:t>
      </w:r>
    </w:p>
    <w:p w14:paraId="5D17BE51" w14:textId="77777777" w:rsidR="001D297F" w:rsidRDefault="001D297F" w:rsidP="001D297F"/>
    <w:p w14:paraId="3BEA4717" w14:textId="77777777" w:rsidR="003D1B51" w:rsidRDefault="003D1B51" w:rsidP="003D1B51"/>
    <w:p w14:paraId="5C358196" w14:textId="33CE2E0B" w:rsidR="003D1B51" w:rsidRPr="001A6138" w:rsidRDefault="003D1B51" w:rsidP="003D1B51">
      <w:pPr>
        <w:rPr>
          <w:b/>
          <w:bCs/>
          <w:color w:val="000000"/>
          <w:shd w:val="clear" w:color="auto" w:fill="FFFFFF"/>
        </w:rPr>
      </w:pPr>
      <w:hyperlink r:id="rId13" w:tooltip="https://urldefense.proofpoint.com/v2/url?u=https-3A__legis.la.gov_Legis_BillInfo.aspx-3Fi-3D246636&amp;d=DwMF-g&amp;c=euGZstcaTDllvimEN8b7jXrwqOf-v5A_CdpgnVfiiMM&amp;r=OPSiMCTvMNxsTElQc1OfzT5jomR2JTeXgV2jqKd4nyY&amp;m=1yVDlNEz5L-ldlpTFzw4Kj6nXUGkkms4WC6NDyrwtRV5A6Qiby-35" w:history="1">
        <w:r w:rsidRPr="001A6138">
          <w:rPr>
            <w:rStyle w:val="Hyperlink"/>
            <w:b/>
            <w:bCs/>
            <w:color w:val="0078D7"/>
            <w:shd w:val="clear" w:color="auto" w:fill="FFFFFF"/>
          </w:rPr>
          <w:t>SB 355</w:t>
        </w:r>
      </w:hyperlink>
    </w:p>
    <w:p w14:paraId="25B62056" w14:textId="2E99C55E" w:rsidR="003D1B51" w:rsidRPr="001A6138" w:rsidRDefault="003D1B51" w:rsidP="003D1B51">
      <w:pPr>
        <w:rPr>
          <w:b/>
          <w:bCs/>
        </w:rPr>
      </w:pPr>
      <w:r w:rsidRPr="001A6138">
        <w:rPr>
          <w:b/>
          <w:bCs/>
          <w:color w:val="000000"/>
          <w:shd w:val="clear" w:color="auto" w:fill="FFFFFF"/>
        </w:rPr>
        <w:t>Foreign funders of third party litigation financing </w:t>
      </w:r>
    </w:p>
    <w:p w14:paraId="57035B0F" w14:textId="77777777" w:rsidR="003D1B51" w:rsidRDefault="003D1B51" w:rsidP="003D1B51">
      <w:r>
        <w:rPr>
          <w:color w:val="000000"/>
          <w:shd w:val="clear" w:color="auto" w:fill="FFFFFF"/>
        </w:rPr>
        <w:t>This bill requires all foreign third party litigation funders to disclose specific information to the attorney general. It focuses entirely on direct foreign funding and does not require disclosure of the contract to other all litigants, thereby not providing the transparency necessary to provide balance in the legal system. </w:t>
      </w:r>
    </w:p>
    <w:p w14:paraId="0538FF8A" w14:textId="45094C2B" w:rsidR="003D1B51" w:rsidRPr="00D2237F" w:rsidRDefault="003D1B51" w:rsidP="003D1B51">
      <w:pPr>
        <w:rPr>
          <w:b/>
          <w:bCs/>
        </w:rPr>
      </w:pPr>
      <w:r w:rsidRPr="00D2237F">
        <w:rPr>
          <w:b/>
          <w:bCs/>
          <w:color w:val="000000"/>
          <w:shd w:val="clear" w:color="auto" w:fill="FFFFFF"/>
        </w:rPr>
        <w:t xml:space="preserve">Amended on the House floor with the strong disclosure language from Rep. Chenevert’s HB 336, which is stalled in Senate Judiciary A Committee. The amended bill passed the House floor 81-20. Sen. Stine moved to reject House amendments on Tuesday, sending the bill to conference committee. </w:t>
      </w:r>
      <w:r w:rsidRPr="00D2237F">
        <w:rPr>
          <w:b/>
          <w:bCs/>
          <w:color w:val="212121"/>
        </w:rPr>
        <w:t>As amended, SB 355 will prohibit litigation funding from foreign adversaries, including any indirect foreign funding, and require all other</w:t>
      </w:r>
      <w:r w:rsidRPr="00D2237F">
        <w:rPr>
          <w:rStyle w:val="apple-converted-space"/>
          <w:b/>
          <w:bCs/>
          <w:color w:val="212121"/>
        </w:rPr>
        <w:t> </w:t>
      </w:r>
      <w:r w:rsidRPr="00D2237F">
        <w:rPr>
          <w:b/>
          <w:bCs/>
          <w:color w:val="222222"/>
        </w:rPr>
        <w:t>parties to automatically disclose</w:t>
      </w:r>
      <w:r w:rsidRPr="00D2237F">
        <w:rPr>
          <w:rStyle w:val="apple-converted-space"/>
          <w:b/>
          <w:bCs/>
          <w:color w:val="222222"/>
        </w:rPr>
        <w:t> </w:t>
      </w:r>
      <w:r w:rsidRPr="00D2237F">
        <w:rPr>
          <w:b/>
          <w:bCs/>
          <w:color w:val="212121"/>
        </w:rPr>
        <w:t xml:space="preserve">any litigation financing contract or agreement. The amendments added in the House align the bill with Rep. Chenevert’s TPLF transparency bill, which is part of the package supported by </w:t>
      </w:r>
      <w:r w:rsidRPr="00D2237F">
        <w:rPr>
          <w:b/>
          <w:bCs/>
          <w:color w:val="212121"/>
        </w:rPr>
        <w:lastRenderedPageBreak/>
        <w:t xml:space="preserve">the Commissioner of Insurance. Without these important changes, the legislation does not do enough to bring additional fairness to our legal system. Please do not make additional changes to amendments passed in the House. </w:t>
      </w:r>
    </w:p>
    <w:p w14:paraId="76B008E0" w14:textId="77777777" w:rsidR="003D1B51" w:rsidRDefault="003D1B51" w:rsidP="003D1B51">
      <w:r>
        <w:rPr>
          <w:color w:val="212121"/>
        </w:rPr>
        <w:t> </w:t>
      </w:r>
    </w:p>
    <w:p w14:paraId="2001A9FA" w14:textId="77777777" w:rsidR="001A6138" w:rsidRPr="001A6138" w:rsidRDefault="003D1B51" w:rsidP="003D1B51">
      <w:pPr>
        <w:rPr>
          <w:b/>
          <w:bCs/>
        </w:rPr>
      </w:pPr>
      <w:hyperlink r:id="rId14" w:tooltip="https://urldefense.proofpoint.com/v2/url?u=https-3A__legis.la.gov_legis_BillInfo.aspx-3Fs-3D24RS-26b-3DHB423-26sbi-3Dy&amp;d=DwMGaQ&amp;c=euGZstcaTDllvimEN8b7jXrwqOf-v5A_CdpgnVfiiMM&amp;r=OPSiMCTvMNxsTElQc1OfzT5jomR2JTeXgV2jqKd4nyY&amp;m=asHNvhNQRkOx8xruvDSIy-MwWNy4jQzRQ" w:history="1">
        <w:r w:rsidRPr="001A6138">
          <w:rPr>
            <w:rStyle w:val="Hyperlink"/>
            <w:b/>
            <w:bCs/>
            <w:color w:val="0078D7"/>
          </w:rPr>
          <w:t>HB 423</w:t>
        </w:r>
      </w:hyperlink>
    </w:p>
    <w:p w14:paraId="5A517EF9" w14:textId="636E7815" w:rsidR="003D1B51" w:rsidRPr="001A6138" w:rsidRDefault="003D1B51" w:rsidP="003D1B51">
      <w:pPr>
        <w:rPr>
          <w:b/>
          <w:bCs/>
        </w:rPr>
      </w:pPr>
      <w:r w:rsidRPr="001A6138">
        <w:rPr>
          <w:b/>
          <w:bCs/>
          <w:color w:val="212121"/>
        </w:rPr>
        <w:t>Collateral Source</w:t>
      </w:r>
    </w:p>
    <w:p w14:paraId="0380EB34" w14:textId="77777777" w:rsidR="003D1B51" w:rsidRDefault="003D1B51" w:rsidP="003D1B51">
      <w:r>
        <w:rPr>
          <w:color w:val="212121"/>
        </w:rPr>
        <w:t>This legislation discloses to the jury in civil cases what a plaintiff actually pays in medical costs and what the medical provider bills the insurer. This bill would put us in more close alignment with the nation’s trend of enacting legislation that allows the plaintiff to recover only what was actually paid by them, not the amount incurred.</w:t>
      </w:r>
    </w:p>
    <w:p w14:paraId="03CBEE14" w14:textId="78C77ADA" w:rsidR="003D1B51" w:rsidRPr="00D2237F" w:rsidRDefault="003D1B51" w:rsidP="003D1B51">
      <w:pPr>
        <w:rPr>
          <w:b/>
          <w:bCs/>
        </w:rPr>
      </w:pPr>
      <w:r w:rsidRPr="00D2237F">
        <w:rPr>
          <w:b/>
          <w:bCs/>
          <w:color w:val="000000"/>
          <w:shd w:val="clear" w:color="auto" w:fill="FFFFFF"/>
        </w:rPr>
        <w:t xml:space="preserve">Passed the Senate floor on May 21 with </w:t>
      </w:r>
      <w:hyperlink r:id="rId15" w:history="1">
        <w:r w:rsidRPr="00D2237F">
          <w:rPr>
            <w:rStyle w:val="Hyperlink"/>
            <w:b/>
            <w:bCs/>
            <w:shd w:val="clear" w:color="auto" w:fill="FFFFFF"/>
          </w:rPr>
          <w:t>amendments</w:t>
        </w:r>
      </w:hyperlink>
      <w:r w:rsidRPr="00D2237F">
        <w:rPr>
          <w:b/>
          <w:bCs/>
          <w:color w:val="000000"/>
          <w:shd w:val="clear" w:color="auto" w:fill="FFFFFF"/>
        </w:rPr>
        <w:t xml:space="preserve">. As amended, the courts </w:t>
      </w:r>
      <w:r w:rsidRPr="00D2237F">
        <w:rPr>
          <w:b/>
          <w:bCs/>
          <w:color w:val="000000"/>
          <w:u w:val="single"/>
          <w:shd w:val="clear" w:color="auto" w:fill="FFFFFF"/>
        </w:rPr>
        <w:t>may</w:t>
      </w:r>
      <w:r w:rsidRPr="00D2237F">
        <w:rPr>
          <w:b/>
          <w:bCs/>
          <w:color w:val="000000"/>
          <w:shd w:val="clear" w:color="auto" w:fill="FFFFFF"/>
        </w:rPr>
        <w:t xml:space="preserve"> now award up to 30 percent of the difference between what was billed and what was actually paid. Admissibility language remains on the bill, but it does not address cash payments which is a major loophole that plaintiff attorneys use to inflate medical expense claims. This watered down version of the single most important tort reform bill will NOT provide meaningful improvement in inflated medical expense claims and will NOT improve the automobile insurance market. This “compromise” makes everyone unhappy. Business and insurance interests believe it does not go far enough. The plaintiff attorneys believe it will impair their ability to inflate claims, and we understand the governor is reluctant to sign the bill currently. </w:t>
      </w:r>
    </w:p>
    <w:p w14:paraId="417933FB" w14:textId="77777777" w:rsidR="003D1B51" w:rsidRDefault="003D1B51" w:rsidP="003D1B51">
      <w:r>
        <w:rPr>
          <w:color w:val="212121"/>
        </w:rPr>
        <w:t> </w:t>
      </w:r>
    </w:p>
    <w:p w14:paraId="46A8DCB9" w14:textId="0757DDD9" w:rsidR="00D2237F" w:rsidRPr="00D2237F" w:rsidRDefault="003D1B51" w:rsidP="003D1B51">
      <w:pPr>
        <w:rPr>
          <w:b/>
          <w:bCs/>
          <w:color w:val="000000"/>
          <w:shd w:val="clear" w:color="auto" w:fill="FFFFFF"/>
        </w:rPr>
      </w:pPr>
      <w:hyperlink r:id="rId16" w:tooltip="https://urldefense.proofpoint.com/v2/url?u=https-3A__legis.la.gov_legis_BillInfo.aspx-3Fs-3D24RS-26b-3DHB315-26sbi-3Dy&amp;d=DwMGaQ&amp;c=euGZstcaTDllvimEN8b7jXrwqOf-v5A_CdpgnVfiiMM&amp;r=OPSiMCTvMNxsTElQc1OfzT5jomR2JTeXgV2jqKd4nyY&amp;m=asHNvhNQRkOx8xruvDSIy-MwWNy4jQzRQ" w:history="1">
        <w:r w:rsidRPr="00D2237F">
          <w:rPr>
            <w:rStyle w:val="Hyperlink"/>
            <w:b/>
            <w:bCs/>
            <w:color w:val="0078D7"/>
            <w:shd w:val="clear" w:color="auto" w:fill="FFFFFF"/>
          </w:rPr>
          <w:t>HB 315</w:t>
        </w:r>
      </w:hyperlink>
      <w:r w:rsidRPr="00D2237F">
        <w:rPr>
          <w:b/>
          <w:bCs/>
          <w:color w:val="000000"/>
          <w:shd w:val="clear" w:color="auto" w:fill="FFFFFF"/>
        </w:rPr>
        <w:t> </w:t>
      </w:r>
    </w:p>
    <w:p w14:paraId="61CBFF4B" w14:textId="64E880FA" w:rsidR="003D1B51" w:rsidRPr="00D2237F" w:rsidRDefault="003D1B51" w:rsidP="003D1B51">
      <w:pPr>
        <w:rPr>
          <w:b/>
          <w:bCs/>
        </w:rPr>
      </w:pPr>
      <w:r w:rsidRPr="00D2237F">
        <w:rPr>
          <w:b/>
          <w:bCs/>
          <w:color w:val="000000"/>
          <w:shd w:val="clear" w:color="auto" w:fill="FFFFFF"/>
        </w:rPr>
        <w:t>Prescription</w:t>
      </w:r>
    </w:p>
    <w:p w14:paraId="6A0DDBA7" w14:textId="77777777" w:rsidR="003D1B51" w:rsidRDefault="003D1B51" w:rsidP="003D1B51">
      <w:r>
        <w:rPr>
          <w:color w:val="212121"/>
        </w:rPr>
        <w:t>Changes prescriptive periods for tort actions from one year to two years.</w:t>
      </w:r>
    </w:p>
    <w:p w14:paraId="30B075BA" w14:textId="26E6F076" w:rsidR="003D1B51" w:rsidRPr="00D2237F" w:rsidRDefault="003D1B51" w:rsidP="003D1B51">
      <w:pPr>
        <w:rPr>
          <w:b/>
          <w:bCs/>
          <w:color w:val="000000"/>
          <w:shd w:val="clear" w:color="auto" w:fill="FFFFFF"/>
        </w:rPr>
      </w:pPr>
      <w:r w:rsidRPr="00D2237F">
        <w:rPr>
          <w:b/>
          <w:bCs/>
          <w:color w:val="000000"/>
          <w:shd w:val="clear" w:color="auto" w:fill="FFFFFF"/>
        </w:rPr>
        <w:t>Passed the Senate without amendments. Sen. Seabaugh attempted to amend the bill to tie other reform measures to its passage, but the effort failed. We remain opposed to this bill unless other reforms are signed into law.</w:t>
      </w:r>
    </w:p>
    <w:p w14:paraId="7CA13529" w14:textId="77777777" w:rsidR="003D1B51" w:rsidRDefault="003D1B51" w:rsidP="003D1B51">
      <w:r>
        <w:rPr>
          <w:color w:val="212121"/>
        </w:rPr>
        <w:t> </w:t>
      </w:r>
    </w:p>
    <w:p w14:paraId="01BD4D04" w14:textId="77777777" w:rsidR="00D2237F" w:rsidRPr="00D2237F" w:rsidRDefault="003D1B51" w:rsidP="003D1B51">
      <w:pPr>
        <w:rPr>
          <w:b/>
          <w:bCs/>
        </w:rPr>
      </w:pPr>
      <w:hyperlink r:id="rId17" w:tooltip="https://urldefense.proofpoint.com/v2/url?u=https-3A__legis.la.gov_legis_BillInfo.aspx-3Fs-3D24RS-26b-3DHB337-26sbi-3Dy&amp;d=DwMGaQ&amp;c=euGZstcaTDllvimEN8b7jXrwqOf-v5A_CdpgnVfiiMM&amp;r=OPSiMCTvMNxsTElQc1OfzT5jomR2JTeXgV2jqKd4nyY&amp;m=asHNvhNQRkOx8xruvDSIy-MwWNy4jQzRQ" w:history="1">
        <w:r w:rsidRPr="00D2237F">
          <w:rPr>
            <w:rStyle w:val="Hyperlink"/>
            <w:b/>
            <w:bCs/>
            <w:color w:val="0078D7"/>
          </w:rPr>
          <w:t>HB 337</w:t>
        </w:r>
      </w:hyperlink>
    </w:p>
    <w:p w14:paraId="4F8168DE" w14:textId="0FA6815C" w:rsidR="003D1B51" w:rsidRPr="00D2237F" w:rsidRDefault="003D1B51" w:rsidP="003D1B51">
      <w:pPr>
        <w:rPr>
          <w:b/>
          <w:bCs/>
        </w:rPr>
      </w:pPr>
      <w:r w:rsidRPr="00D2237F">
        <w:rPr>
          <w:b/>
          <w:bCs/>
          <w:color w:val="212121"/>
        </w:rPr>
        <w:t>Direct Action</w:t>
      </w:r>
    </w:p>
    <w:p w14:paraId="32A0F9F8" w14:textId="77777777" w:rsidR="003D1B51" w:rsidRDefault="003D1B51" w:rsidP="003D1B51">
      <w:r>
        <w:rPr>
          <w:color w:val="212121"/>
        </w:rPr>
        <w:t>This bill would repeal the current direct action statute against insurers except in specific limited circumstances. This legislation would put Louisiana in line with 47 other states and create a more attractive market for insurers.</w:t>
      </w:r>
    </w:p>
    <w:p w14:paraId="64A27975" w14:textId="0458A5A7" w:rsidR="003D1B51" w:rsidRPr="00D2237F" w:rsidRDefault="003D1B51" w:rsidP="003D1B51">
      <w:pPr>
        <w:rPr>
          <w:b/>
          <w:bCs/>
        </w:rPr>
      </w:pPr>
      <w:r w:rsidRPr="00D2237F">
        <w:rPr>
          <w:b/>
          <w:bCs/>
          <w:color w:val="000000"/>
          <w:shd w:val="clear" w:color="auto" w:fill="FFFFFF"/>
        </w:rPr>
        <w:t>Passed the Senate with amendments 39-0. Most stakeholders agree the amendments are good, and Louisiana is no longer a direct action state. We hope Governor Landry will not veto the bill</w:t>
      </w:r>
      <w:r w:rsidR="00893CA6" w:rsidRPr="00D2237F">
        <w:rPr>
          <w:b/>
          <w:bCs/>
          <w:color w:val="000000"/>
          <w:shd w:val="clear" w:color="auto" w:fill="FFFFFF"/>
        </w:rPr>
        <w:t xml:space="preserve">. </w:t>
      </w:r>
    </w:p>
    <w:p w14:paraId="481A5997" w14:textId="77777777" w:rsidR="003D1B51" w:rsidRDefault="003D1B51" w:rsidP="003D1B51">
      <w:r>
        <w:rPr>
          <w:color w:val="212121"/>
        </w:rPr>
        <w:t>  </w:t>
      </w:r>
    </w:p>
    <w:p w14:paraId="003C9E09" w14:textId="77777777" w:rsidR="00D2237F" w:rsidRPr="00D2237F" w:rsidRDefault="003D1B51" w:rsidP="003D1B51">
      <w:pPr>
        <w:rPr>
          <w:b/>
          <w:bCs/>
        </w:rPr>
      </w:pPr>
      <w:hyperlink r:id="rId18" w:tooltip="https://urldefense.proofpoint.com/v2/url?u=https-3A__legis.la.gov_legis_BillInfo.aspx-3Fs-3D24RS-26b-3DSB84-26sbi-3Dy&amp;d=DwMGaQ&amp;c=euGZstcaTDllvimEN8b7jXrwqOf-v5A_CdpgnVfiiMM&amp;r=OPSiMCTvMNxsTElQc1OfzT5jomR2JTeXgV2jqKd4nyY&amp;m=asHNvhNQRkOx8xruvDSIy-MwWNy4jQzRQR" w:history="1">
        <w:r w:rsidRPr="00D2237F">
          <w:rPr>
            <w:rStyle w:val="Hyperlink"/>
            <w:b/>
            <w:bCs/>
            <w:color w:val="0078D7"/>
          </w:rPr>
          <w:t>SB 84</w:t>
        </w:r>
      </w:hyperlink>
    </w:p>
    <w:p w14:paraId="35EBD8C3" w14:textId="650EB4D8" w:rsidR="003D1B51" w:rsidRPr="00D2237F" w:rsidRDefault="003D1B51" w:rsidP="003D1B51">
      <w:pPr>
        <w:rPr>
          <w:b/>
          <w:bCs/>
        </w:rPr>
      </w:pPr>
      <w:r w:rsidRPr="00D2237F">
        <w:rPr>
          <w:b/>
          <w:bCs/>
          <w:color w:val="212121"/>
        </w:rPr>
        <w:t>Offer of Judgment</w:t>
      </w:r>
    </w:p>
    <w:p w14:paraId="33E781B0" w14:textId="77777777" w:rsidR="003D1B51" w:rsidRDefault="003D1B51" w:rsidP="003D1B51">
      <w:r>
        <w:rPr>
          <w:color w:val="212121"/>
        </w:rPr>
        <w:t>In current law, if the plaintiff does not win a “judgment” when an offer of judgment is made and not accepted, the only recourse is payment of costs by the plaintiff. This bill directs that if a final judgment is in favor of the defendant and is at least 25 percent less than the offer of judgment, defendant is entitled to recover attorneys’ fees and costs from the plaintiff. This would resolve the current imbalance in the law, encourage early settlement within a reasonable range, and aligns Louisiana with other states.</w:t>
      </w:r>
    </w:p>
    <w:p w14:paraId="53671667" w14:textId="0A2C00D4" w:rsidR="003D1B51" w:rsidRPr="00D2237F" w:rsidRDefault="003D1B51" w:rsidP="003D1B51">
      <w:pPr>
        <w:rPr>
          <w:b/>
          <w:bCs/>
        </w:rPr>
      </w:pPr>
      <w:r w:rsidRPr="00D2237F">
        <w:rPr>
          <w:b/>
          <w:bCs/>
          <w:color w:val="212121"/>
        </w:rPr>
        <w:t>Awaiting House floor action. Expected to pass</w:t>
      </w:r>
      <w:r w:rsidR="00893CA6" w:rsidRPr="00D2237F">
        <w:rPr>
          <w:b/>
          <w:bCs/>
          <w:color w:val="212121"/>
        </w:rPr>
        <w:t xml:space="preserve">. </w:t>
      </w:r>
    </w:p>
    <w:p w14:paraId="34D3429D" w14:textId="77777777" w:rsidR="003D1B51" w:rsidRDefault="003D1B51" w:rsidP="003D1B51">
      <w:r>
        <w:rPr>
          <w:color w:val="212121"/>
        </w:rPr>
        <w:t> </w:t>
      </w:r>
    </w:p>
    <w:p w14:paraId="52E68E33" w14:textId="77777777" w:rsidR="00D2237F" w:rsidRPr="00D2237F" w:rsidRDefault="003D1B51" w:rsidP="003D1B51">
      <w:pPr>
        <w:rPr>
          <w:b/>
          <w:bCs/>
        </w:rPr>
      </w:pPr>
      <w:hyperlink r:id="rId19" w:tooltip="https://urldefense.proofpoint.com/v2/url?u=https-3A__legis.la.gov_legis_BillInfo.aspx-3Fs-3D24RS-26b-3DHB24-26sbi-3Dy&amp;d=DwMGaQ&amp;c=euGZstcaTDllvimEN8b7jXrwqOf-v5A_CdpgnVfiiMM&amp;r=OPSiMCTvMNxsTElQc1OfzT5jomR2JTeXgV2jqKd4nyY&amp;m=asHNvhNQRkOx8xruvDSIy-MwWNy4jQzRQR" w:history="1">
        <w:r w:rsidRPr="00D2237F">
          <w:rPr>
            <w:rStyle w:val="Hyperlink"/>
            <w:b/>
            <w:bCs/>
            <w:color w:val="0078D7"/>
          </w:rPr>
          <w:t>HB 24</w:t>
        </w:r>
      </w:hyperlink>
    </w:p>
    <w:p w14:paraId="27AF48AB" w14:textId="47C104EB" w:rsidR="003D1B51" w:rsidRPr="00D2237F" w:rsidRDefault="003D1B51" w:rsidP="003D1B51">
      <w:pPr>
        <w:rPr>
          <w:b/>
          <w:bCs/>
        </w:rPr>
      </w:pPr>
      <w:r w:rsidRPr="00D2237F">
        <w:rPr>
          <w:b/>
          <w:bCs/>
          <w:color w:val="212121"/>
        </w:rPr>
        <w:t>Housely Presumption</w:t>
      </w:r>
    </w:p>
    <w:p w14:paraId="0A83947A" w14:textId="77777777" w:rsidR="003D1B51" w:rsidRDefault="003D1B51" w:rsidP="003D1B51">
      <w:r>
        <w:rPr>
          <w:color w:val="000000"/>
          <w:shd w:val="clear" w:color="auto" w:fill="FFFFFF"/>
        </w:rPr>
        <w:t>Would require a plaintiff to maintain full burden of proof on causation rather than allowing the plaintiff to rely on the prior judicially created presumption of causation. It legislatively repeals the presumption and provides additional fairness and predictability in Louisiana’s legal system. </w:t>
      </w:r>
    </w:p>
    <w:p w14:paraId="74E3C351" w14:textId="0D687FED" w:rsidR="003D1B51" w:rsidRPr="00D2237F" w:rsidRDefault="003D1B51" w:rsidP="003D1B51">
      <w:pPr>
        <w:rPr>
          <w:b/>
          <w:bCs/>
        </w:rPr>
      </w:pPr>
      <w:r w:rsidRPr="00D2237F">
        <w:rPr>
          <w:b/>
          <w:bCs/>
          <w:color w:val="000000"/>
          <w:shd w:val="clear" w:color="auto" w:fill="FFFFFF"/>
        </w:rPr>
        <w:t xml:space="preserve">Stalled in the Senate Judiciary A Committee. </w:t>
      </w:r>
    </w:p>
    <w:p w14:paraId="60C8E0B4" w14:textId="77777777" w:rsidR="003D1B51" w:rsidRDefault="003D1B51" w:rsidP="003D1B51">
      <w:r>
        <w:rPr>
          <w:color w:val="000000"/>
          <w:shd w:val="clear" w:color="auto" w:fill="FFFFFF"/>
        </w:rPr>
        <w:t> </w:t>
      </w:r>
    </w:p>
    <w:p w14:paraId="14E6E550" w14:textId="6ADA335B" w:rsidR="00D2237F" w:rsidRPr="00D2237F" w:rsidRDefault="003D1B51" w:rsidP="003D1B51">
      <w:pPr>
        <w:rPr>
          <w:b/>
          <w:bCs/>
          <w:color w:val="000000"/>
          <w:shd w:val="clear" w:color="auto" w:fill="FFFFFF"/>
        </w:rPr>
      </w:pPr>
      <w:hyperlink r:id="rId20" w:tooltip="https://urldefense.proofpoint.com/v2/url?u=https-3A__legis.la.gov_legis_BillInfo.aspx-3Fs-3D24RS-26b-3DHB336-26sbi-3Dy&amp;d=DwMGaQ&amp;c=euGZstcaTDllvimEN8b7jXrwqOf-v5A_CdpgnVfiiMM&amp;r=OPSiMCTvMNxsTElQc1OfzT5jomR2JTeXgV2jqKd4nyY&amp;m=asHNvhNQRkOx8xruvDSIy-MwWNy4jQzRQ" w:history="1">
        <w:r w:rsidRPr="00D2237F">
          <w:rPr>
            <w:rStyle w:val="Hyperlink"/>
            <w:b/>
            <w:bCs/>
            <w:color w:val="0078D7"/>
            <w:shd w:val="clear" w:color="auto" w:fill="FFFFFF"/>
          </w:rPr>
          <w:t>HB 336</w:t>
        </w:r>
      </w:hyperlink>
      <w:r w:rsidRPr="00D2237F">
        <w:rPr>
          <w:b/>
          <w:bCs/>
          <w:color w:val="000000"/>
          <w:shd w:val="clear" w:color="auto" w:fill="FFFFFF"/>
        </w:rPr>
        <w:t> </w:t>
      </w:r>
    </w:p>
    <w:p w14:paraId="156130FC" w14:textId="7D007073" w:rsidR="003D1B51" w:rsidRPr="00D2237F" w:rsidRDefault="003D1B51" w:rsidP="003D1B51">
      <w:pPr>
        <w:rPr>
          <w:b/>
          <w:bCs/>
        </w:rPr>
      </w:pPr>
      <w:r w:rsidRPr="00D2237F">
        <w:rPr>
          <w:b/>
          <w:bCs/>
          <w:color w:val="000000"/>
          <w:shd w:val="clear" w:color="auto" w:fill="FFFFFF"/>
        </w:rPr>
        <w:t>Creates the</w:t>
      </w:r>
      <w:r w:rsidRPr="00D2237F">
        <w:rPr>
          <w:b/>
          <w:bCs/>
          <w:color w:val="212121"/>
        </w:rPr>
        <w:t> Litigation and Financial Disclosure Act.</w:t>
      </w:r>
    </w:p>
    <w:p w14:paraId="4CA0F3FC" w14:textId="77777777" w:rsidR="003D1B51" w:rsidRDefault="003D1B51" w:rsidP="003D1B51">
      <w:pPr>
        <w:jc w:val="both"/>
      </w:pPr>
      <w:r>
        <w:rPr>
          <w:color w:val="222222"/>
        </w:rPr>
        <w:t>Requires parties to automatically disclose </w:t>
      </w:r>
      <w:r>
        <w:rPr>
          <w:color w:val="212121"/>
        </w:rPr>
        <w:t>any litigation financing contract or agreement under which anyone other than a legal representative may receive compensation contingent on the proceeds of the civil action. </w:t>
      </w:r>
    </w:p>
    <w:p w14:paraId="55BCEC7A" w14:textId="69FCE463" w:rsidR="003D1B51" w:rsidRPr="00D2237F" w:rsidRDefault="003D1B51" w:rsidP="003D1B51">
      <w:pPr>
        <w:rPr>
          <w:b/>
          <w:bCs/>
        </w:rPr>
      </w:pPr>
      <w:r w:rsidRPr="00D2237F">
        <w:rPr>
          <w:b/>
          <w:bCs/>
          <w:color w:val="000000"/>
          <w:shd w:val="clear" w:color="auto" w:fill="FFFFFF"/>
        </w:rPr>
        <w:t>Stalled in Senate Judiciary A Committee but amended onto SB 355 as outlined above.</w:t>
      </w:r>
    </w:p>
    <w:p w14:paraId="4BC8EDAB" w14:textId="77777777" w:rsidR="003D1B51" w:rsidRDefault="003D1B51" w:rsidP="003D1B51">
      <w:r>
        <w:rPr>
          <w:color w:val="212121"/>
        </w:rPr>
        <w:t> </w:t>
      </w:r>
    </w:p>
    <w:p w14:paraId="0C071F6A" w14:textId="77777777" w:rsidR="004E01E4" w:rsidRDefault="004E01E4"/>
    <w:sectPr w:rsidR="004E01E4" w:rsidSect="003F3CCF">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AC32CC"/>
    <w:multiLevelType w:val="hybridMultilevel"/>
    <w:tmpl w:val="B816A852"/>
    <w:lvl w:ilvl="0" w:tplc="BFEC4094">
      <w:start w:val="1"/>
      <w:numFmt w:val="decimal"/>
      <w:lvlText w:val="%1)"/>
      <w:lvlJc w:val="left"/>
      <w:pPr>
        <w:ind w:left="720" w:hanging="360"/>
      </w:pPr>
      <w:rPr>
        <w:rFonts w:ascii="Verdana" w:eastAsiaTheme="minorHAnsi" w:hAnsi="Verdana" w:cstheme="minorBidi"/>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3FC7BCA"/>
    <w:multiLevelType w:val="hybridMultilevel"/>
    <w:tmpl w:val="B816A852"/>
    <w:lvl w:ilvl="0" w:tplc="FFFFFFFF">
      <w:start w:val="1"/>
      <w:numFmt w:val="decimal"/>
      <w:lvlText w:val="%1)"/>
      <w:lvlJc w:val="left"/>
      <w:pPr>
        <w:ind w:left="720" w:hanging="360"/>
      </w:pPr>
      <w:rPr>
        <w:rFonts w:ascii="Verdana" w:eastAsiaTheme="minorHAnsi" w:hAnsi="Verdana" w:cstheme="minorBidi"/>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7A613562"/>
    <w:multiLevelType w:val="hybridMultilevel"/>
    <w:tmpl w:val="B816A852"/>
    <w:lvl w:ilvl="0" w:tplc="FFFFFFFF">
      <w:start w:val="1"/>
      <w:numFmt w:val="decimal"/>
      <w:lvlText w:val="%1)"/>
      <w:lvlJc w:val="left"/>
      <w:pPr>
        <w:ind w:left="720" w:hanging="360"/>
      </w:pPr>
      <w:rPr>
        <w:rFonts w:ascii="Verdana" w:eastAsiaTheme="minorHAnsi" w:hAnsi="Verdana" w:cstheme="minorBidi"/>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514011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6261204">
    <w:abstractNumId w:val="0"/>
  </w:num>
  <w:num w:numId="3" w16cid:durableId="1100444217">
    <w:abstractNumId w:val="2"/>
  </w:num>
  <w:num w:numId="4" w16cid:durableId="1047295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97F"/>
    <w:rsid w:val="00037082"/>
    <w:rsid w:val="00103E4C"/>
    <w:rsid w:val="00145309"/>
    <w:rsid w:val="0016568C"/>
    <w:rsid w:val="0017071F"/>
    <w:rsid w:val="001A6138"/>
    <w:rsid w:val="001B6B50"/>
    <w:rsid w:val="001D297F"/>
    <w:rsid w:val="00283949"/>
    <w:rsid w:val="002D101C"/>
    <w:rsid w:val="002E7835"/>
    <w:rsid w:val="002F54E6"/>
    <w:rsid w:val="003B3979"/>
    <w:rsid w:val="003D15A9"/>
    <w:rsid w:val="003D1B51"/>
    <w:rsid w:val="003F3CCF"/>
    <w:rsid w:val="0041481E"/>
    <w:rsid w:val="004665D4"/>
    <w:rsid w:val="004E01E4"/>
    <w:rsid w:val="004F21FE"/>
    <w:rsid w:val="00580CA2"/>
    <w:rsid w:val="00594400"/>
    <w:rsid w:val="005961CC"/>
    <w:rsid w:val="006764DF"/>
    <w:rsid w:val="006C6FDF"/>
    <w:rsid w:val="006D201A"/>
    <w:rsid w:val="007030DE"/>
    <w:rsid w:val="00712318"/>
    <w:rsid w:val="007669D8"/>
    <w:rsid w:val="0081562E"/>
    <w:rsid w:val="00827763"/>
    <w:rsid w:val="0084782F"/>
    <w:rsid w:val="00851F31"/>
    <w:rsid w:val="008739EB"/>
    <w:rsid w:val="00893CA6"/>
    <w:rsid w:val="008E7A96"/>
    <w:rsid w:val="008F47B5"/>
    <w:rsid w:val="009071A2"/>
    <w:rsid w:val="00926D5A"/>
    <w:rsid w:val="009551E3"/>
    <w:rsid w:val="00971307"/>
    <w:rsid w:val="00A15D86"/>
    <w:rsid w:val="00A51A89"/>
    <w:rsid w:val="00A92B8A"/>
    <w:rsid w:val="00AA17C3"/>
    <w:rsid w:val="00AE0D01"/>
    <w:rsid w:val="00B00C4B"/>
    <w:rsid w:val="00B229C0"/>
    <w:rsid w:val="00B229C5"/>
    <w:rsid w:val="00C647FF"/>
    <w:rsid w:val="00D2237F"/>
    <w:rsid w:val="00D231B5"/>
    <w:rsid w:val="00D24C2A"/>
    <w:rsid w:val="00DB4BB0"/>
    <w:rsid w:val="00DD71E8"/>
    <w:rsid w:val="00DE039E"/>
    <w:rsid w:val="00DE3151"/>
    <w:rsid w:val="00DF4F9D"/>
    <w:rsid w:val="00E123B8"/>
    <w:rsid w:val="00E27903"/>
    <w:rsid w:val="00ED0CC0"/>
    <w:rsid w:val="00F80021"/>
    <w:rsid w:val="00F8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C38B"/>
  <w15:chartTrackingRefBased/>
  <w15:docId w15:val="{B4C36DC1-B083-43D1-B3F6-4F3438F9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97F"/>
  </w:style>
  <w:style w:type="paragraph" w:styleId="Heading1">
    <w:name w:val="heading 1"/>
    <w:basedOn w:val="Normal"/>
    <w:next w:val="Normal"/>
    <w:link w:val="Heading1Char"/>
    <w:uiPriority w:val="9"/>
    <w:qFormat/>
    <w:rsid w:val="001D2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2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97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97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D297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D297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297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297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297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2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97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97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D297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D297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297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297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297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29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97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97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29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297F"/>
    <w:rPr>
      <w:i/>
      <w:iCs/>
      <w:color w:val="404040" w:themeColor="text1" w:themeTint="BF"/>
    </w:rPr>
  </w:style>
  <w:style w:type="paragraph" w:styleId="ListParagraph">
    <w:name w:val="List Paragraph"/>
    <w:basedOn w:val="Normal"/>
    <w:uiPriority w:val="34"/>
    <w:qFormat/>
    <w:rsid w:val="001D297F"/>
    <w:pPr>
      <w:ind w:left="720"/>
      <w:contextualSpacing/>
    </w:pPr>
  </w:style>
  <w:style w:type="character" w:styleId="IntenseEmphasis">
    <w:name w:val="Intense Emphasis"/>
    <w:basedOn w:val="DefaultParagraphFont"/>
    <w:uiPriority w:val="21"/>
    <w:qFormat/>
    <w:rsid w:val="001D297F"/>
    <w:rPr>
      <w:i/>
      <w:iCs/>
      <w:color w:val="0F4761" w:themeColor="accent1" w:themeShade="BF"/>
    </w:rPr>
  </w:style>
  <w:style w:type="paragraph" w:styleId="IntenseQuote">
    <w:name w:val="Intense Quote"/>
    <w:basedOn w:val="Normal"/>
    <w:next w:val="Normal"/>
    <w:link w:val="IntenseQuoteChar"/>
    <w:uiPriority w:val="30"/>
    <w:qFormat/>
    <w:rsid w:val="001D2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97F"/>
    <w:rPr>
      <w:i/>
      <w:iCs/>
      <w:color w:val="0F4761" w:themeColor="accent1" w:themeShade="BF"/>
    </w:rPr>
  </w:style>
  <w:style w:type="character" w:styleId="IntenseReference">
    <w:name w:val="Intense Reference"/>
    <w:basedOn w:val="DefaultParagraphFont"/>
    <w:uiPriority w:val="32"/>
    <w:qFormat/>
    <w:rsid w:val="001D297F"/>
    <w:rPr>
      <w:b/>
      <w:bCs/>
      <w:smallCaps/>
      <w:color w:val="0F4761" w:themeColor="accent1" w:themeShade="BF"/>
      <w:spacing w:val="5"/>
    </w:rPr>
  </w:style>
  <w:style w:type="paragraph" w:styleId="NormalWeb">
    <w:name w:val="Normal (Web)"/>
    <w:basedOn w:val="Normal"/>
    <w:uiPriority w:val="99"/>
    <w:semiHidden/>
    <w:unhideWhenUsed/>
    <w:rsid w:val="001D297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D297F"/>
    <w:rPr>
      <w:color w:val="0000FF"/>
      <w:u w:val="single"/>
    </w:rPr>
  </w:style>
  <w:style w:type="character" w:styleId="UnresolvedMention">
    <w:name w:val="Unresolved Mention"/>
    <w:basedOn w:val="DefaultParagraphFont"/>
    <w:uiPriority w:val="99"/>
    <w:semiHidden/>
    <w:unhideWhenUsed/>
    <w:rsid w:val="004665D4"/>
    <w:rPr>
      <w:color w:val="605E5C"/>
      <w:shd w:val="clear" w:color="auto" w:fill="E1DFDD"/>
    </w:rPr>
  </w:style>
  <w:style w:type="character" w:styleId="FollowedHyperlink">
    <w:name w:val="FollowedHyperlink"/>
    <w:basedOn w:val="DefaultParagraphFont"/>
    <w:uiPriority w:val="99"/>
    <w:semiHidden/>
    <w:unhideWhenUsed/>
    <w:rsid w:val="002E7835"/>
    <w:rPr>
      <w:color w:val="96607D" w:themeColor="followedHyperlink"/>
      <w:u w:val="single"/>
    </w:rPr>
  </w:style>
  <w:style w:type="character" w:customStyle="1" w:styleId="apple-converted-space">
    <w:name w:val="apple-converted-space"/>
    <w:basedOn w:val="DefaultParagraphFont"/>
    <w:rsid w:val="003D1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7572265">
      <w:bodyDiv w:val="1"/>
      <w:marLeft w:val="0"/>
      <w:marRight w:val="0"/>
      <w:marTop w:val="0"/>
      <w:marBottom w:val="0"/>
      <w:divBdr>
        <w:top w:val="none" w:sz="0" w:space="0" w:color="auto"/>
        <w:left w:val="none" w:sz="0" w:space="0" w:color="auto"/>
        <w:bottom w:val="none" w:sz="0" w:space="0" w:color="auto"/>
        <w:right w:val="none" w:sz="0" w:space="0" w:color="auto"/>
      </w:divBdr>
    </w:div>
    <w:div w:id="10257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gov/legis/BillInfo.aspx?i=246576" TargetMode="External"/><Relationship Id="rId13" Type="http://schemas.openxmlformats.org/officeDocument/2006/relationships/hyperlink" Target="https://urldefense.proofpoint.com/v2/url?u=https-3A__legis.la.gov_Legis_BillInfo.aspx-3Fi-3D246636&amp;d=DwMF-g&amp;c=euGZstcaTDllvimEN8b7jXrwqOf-v5A_CdpgnVfiiMM&amp;r=OPSiMCTvMNxsTElQc1OfzT5jomR2JTeXgV2jqKd4nyY&amp;m=1yVDlNEz5L-ldlpTFzw4Kj6nXUGkkms4WC6NDyrwtRV5A6Qiby-35MLeNdBCCkVN&amp;s=EPBR2YrtzZZqvDoMqQpqlwdaf7Ma_o_RtRBwxsSFoqs&amp;e=" TargetMode="External"/><Relationship Id="rId18" Type="http://schemas.openxmlformats.org/officeDocument/2006/relationships/hyperlink" Target="https://urldefense.proofpoint.com/v2/url?u=https-3A__legis.la.gov_legis_BillInfo.aspx-3Fs-3D24RS-26b-3DSB84-26sbi-3Dy&amp;d=DwMGaQ&amp;c=euGZstcaTDllvimEN8b7jXrwqOf-v5A_CdpgnVfiiMM&amp;r=OPSiMCTvMNxsTElQc1OfzT5jomR2JTeXgV2jqKd4nyY&amp;m=asHNvhNQRkOx8xruvDSIy-MwWNy4jQzRQRRajhnyoRRq_RIsCRwI2I1yppC6kAbE&amp;s=G-WRbHhO36i5h4RfL_IJmdztNXBMP8kPK2-uT12IL7s&amp;e="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hyperlink" Target="https://legis.la.gov/legis/BillInfo.aspx?s=24RS&amp;b=SB499&amp;sbi=y" TargetMode="External"/><Relationship Id="rId12" Type="http://schemas.openxmlformats.org/officeDocument/2006/relationships/hyperlink" Target="https://legis.la.gov/legis/BillInfo.aspx?i=246417" TargetMode="External"/><Relationship Id="rId17" Type="http://schemas.openxmlformats.org/officeDocument/2006/relationships/hyperlink" Target="https://urldefense.proofpoint.com/v2/url?u=https-3A__legis.la.gov_legis_BillInfo.aspx-3Fs-3D24RS-26b-3DHB337-26sbi-3Dy&amp;d=DwMGaQ&amp;c=euGZstcaTDllvimEN8b7jXrwqOf-v5A_CdpgnVfiiMM&amp;r=OPSiMCTvMNxsTElQc1OfzT5jomR2JTeXgV2jqKd4nyY&amp;m=asHNvhNQRkOx8xruvDSIy-MwWNy4jQzRQRRajhnyoRRq_RIsCRwI2I1yppC6kAbE&amp;s=m-Xh0JARz4owdBimAFuki1C659JiV5ir3jQxUnBDKLI&amp;e=" TargetMode="External"/><Relationship Id="rId2" Type="http://schemas.openxmlformats.org/officeDocument/2006/relationships/customXml" Target="../customXml/item2.xml"/><Relationship Id="rId16" Type="http://schemas.openxmlformats.org/officeDocument/2006/relationships/hyperlink" Target="https://urldefense.proofpoint.com/v2/url?u=https-3A__legis.la.gov_legis_BillInfo.aspx-3Fs-3D24RS-26b-3DHB315-26sbi-3Dy&amp;d=DwMGaQ&amp;c=euGZstcaTDllvimEN8b7jXrwqOf-v5A_CdpgnVfiiMM&amp;r=OPSiMCTvMNxsTElQc1OfzT5jomR2JTeXgV2jqKd4nyY&amp;m=asHNvhNQRkOx8xruvDSIy-MwWNy4jQzRQRRajhnyoRRq_RIsCRwI2I1yppC6kAbE&amp;s=zFeoCTyBA2huLNsqvzRPIQB4d8gqGYmKoh1AB8GPSw0&amp;e=" TargetMode="External"/><Relationship Id="rId20" Type="http://schemas.openxmlformats.org/officeDocument/2006/relationships/hyperlink" Target="https://urldefense.proofpoint.com/v2/url?u=https-3A__legis.la.gov_legis_BillInfo.aspx-3Fs-3D24RS-26b-3DHB336-26sbi-3Dy&amp;d=DwMGaQ&amp;c=euGZstcaTDllvimEN8b7jXrwqOf-v5A_CdpgnVfiiMM&amp;r=OPSiMCTvMNxsTElQc1OfzT5jomR2JTeXgV2jqKd4nyY&amp;m=asHNvhNQRkOx8xruvDSIy-MwWNy4jQzRQRRajhnyoRRq_RIsCRwI2I1yppC6kAbE&amp;s=OKtMuNKri_sDOcqeMExytF6G_foT2mR0zkb7xjNH0_I&amp;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gov/legis/BillInfo.aspx?i=246278" TargetMode="External"/><Relationship Id="rId5" Type="http://schemas.openxmlformats.org/officeDocument/2006/relationships/settings" Target="settings.xml"/><Relationship Id="rId15" Type="http://schemas.openxmlformats.org/officeDocument/2006/relationships/hyperlink" Target="https://urldefense.proofpoint.com/v2/url?u=https-3A__legis.la.gov_legis_ViewDocument.aspx-3Fd-3D1377084&amp;d=DwMGaQ&amp;c=euGZstcaTDllvimEN8b7jXrwqOf-v5A_CdpgnVfiiMM&amp;r=fBGpd-4Z-CsObmZptJUfya0Dx0lUVR-BGOZxTR3MoUw&amp;m=i1igZwMYj5ZKCoZWLJTUvsjrSiDZq6MwOHDdErkL8YJDBDETBp5pDJ-BWJfIL9JF&amp;s=hVqnJS0PHgT9WGw4ZtuaoTvzNvWTCRGTPyZYFR7Dzkg&amp;e=" TargetMode="External"/><Relationship Id="rId23" Type="http://schemas.openxmlformats.org/officeDocument/2006/relationships/customXml" Target="../customXml/item3.xml"/><Relationship Id="rId10" Type="http://schemas.openxmlformats.org/officeDocument/2006/relationships/hyperlink" Target="https://legis.la.gov/legis/BillInfo.aspx?i=245684" TargetMode="External"/><Relationship Id="rId19" Type="http://schemas.openxmlformats.org/officeDocument/2006/relationships/hyperlink" Target="https://urldefense.proofpoint.com/v2/url?u=https-3A__legis.la.gov_legis_BillInfo.aspx-3Fs-3D24RS-26b-3DHB24-26sbi-3Dy&amp;d=DwMGaQ&amp;c=euGZstcaTDllvimEN8b7jXrwqOf-v5A_CdpgnVfiiMM&amp;r=OPSiMCTvMNxsTElQc1OfzT5jomR2JTeXgV2jqKd4nyY&amp;m=asHNvhNQRkOx8xruvDSIy-MwWNy4jQzRQRRajhnyoRRq_RIsCRwI2I1yppC6kAbE&amp;s=MOVVEbu-EuPSC5Jvw5fTbcQ4Zl0BwvbFWbMjzcRaH5A&amp;e=" TargetMode="External"/><Relationship Id="rId4" Type="http://schemas.openxmlformats.org/officeDocument/2006/relationships/styles" Target="styles.xml"/><Relationship Id="rId9" Type="http://schemas.openxmlformats.org/officeDocument/2006/relationships/hyperlink" Target="https://legis.la.gov/legis/BillInfo.aspx?i=246604" TargetMode="External"/><Relationship Id="rId14" Type="http://schemas.openxmlformats.org/officeDocument/2006/relationships/hyperlink" Target="https://urldefense.proofpoint.com/v2/url?u=https-3A__legis.la.gov_legis_BillInfo.aspx-3Fs-3D24RS-26b-3DHB423-26sbi-3Dy&amp;d=DwMGaQ&amp;c=euGZstcaTDllvimEN8b7jXrwqOf-v5A_CdpgnVfiiMM&amp;r=OPSiMCTvMNxsTElQc1OfzT5jomR2JTeXgV2jqKd4nyY&amp;m=asHNvhNQRkOx8xruvDSIy-MwWNy4jQzRQRRajhnyoRRq_RIsCRwI2I1yppC6kAbE&amp;s=qjCc5XweA_zEBkVXnWQ2pUqLHuxHucNG4jJeufE3Mtc&amp;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35747B01D9D046A7C9D1098ED97236" ma:contentTypeVersion="15" ma:contentTypeDescription="Create a new document." ma:contentTypeScope="" ma:versionID="7a7eb1b670e7a829a75173554fce816d">
  <xsd:schema xmlns:xsd="http://www.w3.org/2001/XMLSchema" xmlns:xs="http://www.w3.org/2001/XMLSchema" xmlns:p="http://schemas.microsoft.com/office/2006/metadata/properties" xmlns:ns2="9d9d4f95-3730-4f50-a7a0-3b9b26e607ec" xmlns:ns3="051d4bc8-4da4-4fcc-b8f2-a19b4f01bfd4" targetNamespace="http://schemas.microsoft.com/office/2006/metadata/properties" ma:root="true" ma:fieldsID="aa567669aac22f20939a7679acc39d3c" ns2:_="" ns3:_="">
    <xsd:import namespace="9d9d4f95-3730-4f50-a7a0-3b9b26e607ec"/>
    <xsd:import namespace="051d4bc8-4da4-4fcc-b8f2-a19b4f01bfd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d4f95-3730-4f50-a7a0-3b9b26e60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c882d82-f35a-43c6-902d-906c494333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d4bc8-4da4-4fcc-b8f2-a19b4f01bf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71d065b-dcee-4642-a05e-7cad97cb1f81}" ma:internalName="TaxCatchAll" ma:showField="CatchAllData" ma:web="051d4bc8-4da4-4fcc-b8f2-a19b4f01bf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9d4f95-3730-4f50-a7a0-3b9b26e607ec">
      <Terms xmlns="http://schemas.microsoft.com/office/infopath/2007/PartnerControls"/>
    </lcf76f155ced4ddcb4097134ff3c332f>
    <TaxCatchAll xmlns="051d4bc8-4da4-4fcc-b8f2-a19b4f01bfd4" xsi:nil="true"/>
  </documentManagement>
</p:properties>
</file>

<file path=customXml/itemProps1.xml><?xml version="1.0" encoding="utf-8"?>
<ds:datastoreItem xmlns:ds="http://schemas.openxmlformats.org/officeDocument/2006/customXml" ds:itemID="{A00F08B9-D79E-4ADA-8BFA-A422463BE7D7}"/>
</file>

<file path=customXml/itemProps2.xml><?xml version="1.0" encoding="utf-8"?>
<ds:datastoreItem xmlns:ds="http://schemas.openxmlformats.org/officeDocument/2006/customXml" ds:itemID="{14758285-0D25-464A-83E8-AC76A2381070}">
  <ds:schemaRefs>
    <ds:schemaRef ds:uri="http://schemas.microsoft.com/sharepoint/v3/contenttype/forms"/>
  </ds:schemaRefs>
</ds:datastoreItem>
</file>

<file path=customXml/itemProps3.xml><?xml version="1.0" encoding="utf-8"?>
<ds:datastoreItem xmlns:ds="http://schemas.openxmlformats.org/officeDocument/2006/customXml" ds:itemID="{66BE6C74-20E6-4853-BAC8-D8B5DFDABBC0}"/>
</file>

<file path=docProps/app.xml><?xml version="1.0" encoding="utf-8"?>
<Properties xmlns="http://schemas.openxmlformats.org/officeDocument/2006/extended-properties" xmlns:vt="http://schemas.openxmlformats.org/officeDocument/2006/docPropsVTypes">
  <Template>Normal.dotm</Template>
  <TotalTime>25</TotalTime>
  <Pages>4</Pages>
  <Words>1877</Words>
  <Characters>10704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Albright</dc:creator>
  <cp:keywords/>
  <dc:description/>
  <cp:lastModifiedBy>Jeff Albright</cp:lastModifiedBy>
  <cp:revision>39</cp:revision>
  <dcterms:created xsi:type="dcterms:W3CDTF">2024-05-23T18:32:00Z</dcterms:created>
  <dcterms:modified xsi:type="dcterms:W3CDTF">2024-05-23T18:56:00Z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0x0101009135747B01D9D046A7C9D1098ED97236</vt:lpwstr>
  </property>
</Properties>
</file>